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A8" w:rsidRDefault="00C637A8">
      <w:pPr>
        <w:jc w:val="center"/>
        <w:rPr>
          <w:rFonts w:ascii="Arial" w:hAnsi="Arial"/>
          <w:sz w:val="28"/>
        </w:rPr>
      </w:pPr>
    </w:p>
    <w:p w:rsidR="00311931" w:rsidRDefault="00311931">
      <w:pPr>
        <w:jc w:val="center"/>
        <w:rPr>
          <w:rFonts w:ascii="Arial" w:hAnsi="Arial"/>
          <w:sz w:val="28"/>
        </w:rPr>
      </w:pPr>
      <w:r>
        <w:rPr>
          <w:rFonts w:ascii="Arial" w:hAnsi="Arial"/>
          <w:sz w:val="28"/>
        </w:rPr>
        <w:t>Upper Cumberland Ear, Nose and Throat</w:t>
      </w:r>
    </w:p>
    <w:p w:rsidR="00311931" w:rsidRDefault="00311931">
      <w:pPr>
        <w:jc w:val="center"/>
        <w:rPr>
          <w:rFonts w:ascii="Arial" w:hAnsi="Arial"/>
          <w:sz w:val="28"/>
        </w:rPr>
      </w:pPr>
      <w:r>
        <w:rPr>
          <w:rFonts w:ascii="Arial" w:hAnsi="Arial"/>
          <w:sz w:val="28"/>
        </w:rPr>
        <w:t>Payment and Collection Policy</w:t>
      </w:r>
    </w:p>
    <w:p w:rsidR="00311931" w:rsidRDefault="00311931">
      <w:pPr>
        <w:jc w:val="center"/>
        <w:rPr>
          <w:rFonts w:ascii="Arial" w:hAnsi="Arial"/>
          <w:sz w:val="28"/>
        </w:rPr>
      </w:pPr>
    </w:p>
    <w:p w:rsidR="00311931" w:rsidRDefault="00311931">
      <w:pPr>
        <w:rPr>
          <w:rFonts w:ascii="Arial" w:hAnsi="Arial"/>
          <w:sz w:val="28"/>
        </w:rPr>
      </w:pPr>
    </w:p>
    <w:p w:rsidR="00311931" w:rsidRDefault="00311931">
      <w:pPr>
        <w:rPr>
          <w:rFonts w:ascii="Arial" w:hAnsi="Arial"/>
          <w:i/>
          <w:sz w:val="28"/>
        </w:rPr>
      </w:pPr>
      <w:r>
        <w:rPr>
          <w:rFonts w:ascii="Arial" w:hAnsi="Arial"/>
          <w:i/>
          <w:sz w:val="28"/>
        </w:rPr>
        <w:t>Policy:</w:t>
      </w:r>
    </w:p>
    <w:p w:rsidR="00311931" w:rsidRDefault="00311931">
      <w:pPr>
        <w:rPr>
          <w:rFonts w:ascii="Arial" w:hAnsi="Arial"/>
          <w:i/>
          <w:sz w:val="28"/>
        </w:rPr>
      </w:pPr>
    </w:p>
    <w:p w:rsidR="00311931" w:rsidRDefault="00311931">
      <w:pPr>
        <w:rPr>
          <w:rFonts w:ascii="Arial" w:hAnsi="Arial"/>
          <w:sz w:val="24"/>
          <w:szCs w:val="24"/>
        </w:rPr>
      </w:pPr>
      <w:r>
        <w:rPr>
          <w:rFonts w:ascii="Arial" w:hAnsi="Arial"/>
          <w:sz w:val="24"/>
          <w:szCs w:val="24"/>
        </w:rPr>
        <w:t>This is Upper Cumberland Ear, Nose and Throat’s (“UCENT”) payment and collections policy.</w:t>
      </w:r>
    </w:p>
    <w:p w:rsidR="00311931" w:rsidRDefault="00311931">
      <w:pPr>
        <w:rPr>
          <w:rFonts w:ascii="Arial" w:hAnsi="Arial"/>
          <w:sz w:val="24"/>
          <w:szCs w:val="24"/>
        </w:rPr>
      </w:pPr>
    </w:p>
    <w:p w:rsidR="00311931" w:rsidRPr="004E7BEA" w:rsidRDefault="00311931">
      <w:pPr>
        <w:rPr>
          <w:rFonts w:ascii="Arial" w:hAnsi="Arial"/>
          <w:i/>
          <w:sz w:val="24"/>
          <w:szCs w:val="24"/>
          <w:u w:val="single"/>
        </w:rPr>
      </w:pPr>
      <w:r w:rsidRPr="004E7BEA">
        <w:rPr>
          <w:rFonts w:ascii="Arial" w:hAnsi="Arial"/>
          <w:i/>
          <w:sz w:val="24"/>
          <w:szCs w:val="24"/>
          <w:u w:val="single"/>
        </w:rPr>
        <w:t xml:space="preserve">Patient </w:t>
      </w:r>
      <w:r>
        <w:rPr>
          <w:rFonts w:ascii="Arial" w:hAnsi="Arial"/>
          <w:i/>
          <w:sz w:val="24"/>
          <w:szCs w:val="24"/>
          <w:u w:val="single"/>
        </w:rPr>
        <w:t>Payment Responsibilities</w:t>
      </w:r>
    </w:p>
    <w:p w:rsidR="00311931" w:rsidRPr="006247D7" w:rsidRDefault="00311931">
      <w:pPr>
        <w:rPr>
          <w:rFonts w:ascii="Arial" w:hAnsi="Arial"/>
          <w:sz w:val="24"/>
          <w:szCs w:val="24"/>
        </w:rPr>
      </w:pPr>
    </w:p>
    <w:p w:rsidR="00454562" w:rsidRDefault="00454562" w:rsidP="00C637A8">
      <w:pPr>
        <w:numPr>
          <w:ilvl w:val="0"/>
          <w:numId w:val="7"/>
        </w:numPr>
        <w:rPr>
          <w:rFonts w:ascii="Arial" w:hAnsi="Arial"/>
          <w:sz w:val="24"/>
          <w:szCs w:val="24"/>
        </w:rPr>
      </w:pPr>
      <w:r>
        <w:rPr>
          <w:rFonts w:ascii="Arial" w:hAnsi="Arial"/>
          <w:sz w:val="24"/>
          <w:szCs w:val="24"/>
        </w:rPr>
        <w:t>UCENT will file a claim with insurance carriers that are contracted with this practice.  In all cases, the patient is responsible for payment for services rendered.</w:t>
      </w:r>
    </w:p>
    <w:p w:rsidR="00C637A8" w:rsidRDefault="00C637A8" w:rsidP="00C637A8">
      <w:pPr>
        <w:ind w:left="450"/>
        <w:rPr>
          <w:rFonts w:ascii="Arial" w:hAnsi="Arial"/>
          <w:sz w:val="24"/>
          <w:szCs w:val="24"/>
        </w:rPr>
      </w:pPr>
    </w:p>
    <w:p w:rsidR="00C637A8" w:rsidRPr="00C637A8" w:rsidRDefault="00311931" w:rsidP="00C637A8">
      <w:pPr>
        <w:numPr>
          <w:ilvl w:val="0"/>
          <w:numId w:val="7"/>
        </w:numPr>
        <w:rPr>
          <w:rFonts w:ascii="Arial" w:hAnsi="Arial"/>
          <w:sz w:val="24"/>
          <w:szCs w:val="24"/>
        </w:rPr>
      </w:pPr>
      <w:r w:rsidRPr="00C637A8">
        <w:rPr>
          <w:rFonts w:ascii="Arial" w:hAnsi="Arial"/>
          <w:sz w:val="24"/>
          <w:szCs w:val="24"/>
        </w:rPr>
        <w:t>All patients with health insurance are responsible for making their co-payment at check-in.  If a co-payment is due and not made at check-in, the patient’s appointment is subject to being rescheduled.</w:t>
      </w:r>
      <w:r w:rsidR="00454562" w:rsidRPr="00C637A8">
        <w:rPr>
          <w:rFonts w:ascii="Arial" w:hAnsi="Arial"/>
          <w:sz w:val="24"/>
          <w:szCs w:val="24"/>
        </w:rPr>
        <w:t xml:space="preserve">  If the patient’s insurance does not have a stated co-payment amount, the patient is responsible for a $</w:t>
      </w:r>
      <w:r w:rsidR="006669DB" w:rsidRPr="00C637A8">
        <w:rPr>
          <w:rFonts w:ascii="Arial" w:hAnsi="Arial"/>
          <w:sz w:val="24"/>
          <w:szCs w:val="24"/>
        </w:rPr>
        <w:t>50</w:t>
      </w:r>
      <w:r w:rsidR="003D1DA7" w:rsidRPr="00C637A8">
        <w:rPr>
          <w:rFonts w:ascii="Arial" w:hAnsi="Arial"/>
          <w:sz w:val="24"/>
          <w:szCs w:val="24"/>
        </w:rPr>
        <w:t xml:space="preserve"> payment at check-in.  This $50 payment will apply to your deductible and/or co-insurance for this office visit and any other services rendered.  Any additional amount due for additional services, such as scopes, CT scans, hearing tests, etc. will apply to your deductible and/or co-insurance and will </w:t>
      </w:r>
      <w:r w:rsidR="00454562" w:rsidRPr="00C637A8">
        <w:rPr>
          <w:rFonts w:ascii="Arial" w:hAnsi="Arial"/>
          <w:sz w:val="24"/>
          <w:szCs w:val="24"/>
        </w:rPr>
        <w:t>be billed at a later date.  Any overpayment will be credited to your account or refunded, if your account balance is zero.</w:t>
      </w:r>
    </w:p>
    <w:p w:rsidR="00311931" w:rsidRDefault="00311931" w:rsidP="00C637A8">
      <w:pPr>
        <w:spacing w:after="120"/>
        <w:ind w:left="450"/>
        <w:rPr>
          <w:rFonts w:ascii="Arial" w:hAnsi="Arial"/>
          <w:sz w:val="24"/>
          <w:szCs w:val="24"/>
        </w:rPr>
      </w:pPr>
      <w:r>
        <w:rPr>
          <w:rFonts w:ascii="Arial" w:hAnsi="Arial"/>
          <w:sz w:val="24"/>
          <w:szCs w:val="24"/>
        </w:rPr>
        <w:t xml:space="preserve">  </w:t>
      </w:r>
    </w:p>
    <w:p w:rsidR="00311931" w:rsidRDefault="00311931" w:rsidP="004E7BEA">
      <w:pPr>
        <w:numPr>
          <w:ilvl w:val="0"/>
          <w:numId w:val="7"/>
        </w:numPr>
        <w:spacing w:after="120"/>
        <w:rPr>
          <w:rFonts w:ascii="Arial" w:hAnsi="Arial"/>
          <w:sz w:val="24"/>
          <w:szCs w:val="24"/>
        </w:rPr>
      </w:pPr>
      <w:r>
        <w:rPr>
          <w:rFonts w:ascii="Arial" w:hAnsi="Arial"/>
          <w:sz w:val="24"/>
          <w:szCs w:val="24"/>
        </w:rPr>
        <w:t xml:space="preserve">Patients without health insurance are required to make a $160 </w:t>
      </w:r>
      <w:r w:rsidRPr="00F41872">
        <w:rPr>
          <w:rFonts w:ascii="Arial" w:hAnsi="Arial"/>
          <w:b/>
          <w:sz w:val="24"/>
          <w:szCs w:val="24"/>
        </w:rPr>
        <w:t>deposit</w:t>
      </w:r>
      <w:r>
        <w:rPr>
          <w:rFonts w:ascii="Arial" w:hAnsi="Arial"/>
          <w:sz w:val="24"/>
          <w:szCs w:val="24"/>
        </w:rPr>
        <w:t xml:space="preserve"> at check-in.  </w:t>
      </w:r>
      <w:r w:rsidRPr="00F41872">
        <w:rPr>
          <w:rFonts w:ascii="Arial" w:hAnsi="Arial"/>
          <w:b/>
          <w:sz w:val="24"/>
          <w:szCs w:val="24"/>
        </w:rPr>
        <w:t>If the full deposit is not made at check-in, the patient’s appointment is subject to being rescheduled.</w:t>
      </w:r>
      <w:r>
        <w:rPr>
          <w:rFonts w:ascii="Arial" w:hAnsi="Arial"/>
          <w:sz w:val="24"/>
          <w:szCs w:val="24"/>
        </w:rPr>
        <w:t xml:space="preserve">  </w:t>
      </w:r>
      <w:r w:rsidR="00B2269C">
        <w:rPr>
          <w:rFonts w:ascii="Arial" w:hAnsi="Arial"/>
          <w:sz w:val="24"/>
          <w:szCs w:val="24"/>
        </w:rPr>
        <w:t xml:space="preserve">This deposit typically covers the office visit only, and any additional services, such as scopes, CT scans, hearing tests, etc. will result in additional charges.  </w:t>
      </w:r>
      <w:r>
        <w:rPr>
          <w:rFonts w:ascii="Arial" w:hAnsi="Arial"/>
          <w:sz w:val="24"/>
          <w:szCs w:val="24"/>
        </w:rPr>
        <w:t xml:space="preserve">. </w:t>
      </w:r>
      <w:r w:rsidR="00B2269C">
        <w:rPr>
          <w:rFonts w:ascii="Arial" w:hAnsi="Arial"/>
          <w:sz w:val="24"/>
          <w:szCs w:val="24"/>
        </w:rPr>
        <w:t>Additional charges will be discussed with the patient by a representative of the office prior to services being rendered.</w:t>
      </w:r>
      <w:r>
        <w:rPr>
          <w:rFonts w:ascii="Arial" w:hAnsi="Arial"/>
          <w:sz w:val="24"/>
          <w:szCs w:val="24"/>
        </w:rPr>
        <w:t xml:space="preserve"> </w:t>
      </w:r>
      <w:r w:rsidR="00B2269C">
        <w:rPr>
          <w:rFonts w:ascii="Arial" w:hAnsi="Arial"/>
          <w:sz w:val="24"/>
          <w:szCs w:val="24"/>
        </w:rPr>
        <w:t xml:space="preserve"> </w:t>
      </w:r>
      <w:r>
        <w:rPr>
          <w:rFonts w:ascii="Arial" w:hAnsi="Arial"/>
          <w:sz w:val="24"/>
          <w:szCs w:val="24"/>
        </w:rPr>
        <w:t>Any overpayment will be credited to your account or refunded, if your account balance is zero.</w:t>
      </w:r>
    </w:p>
    <w:p w:rsidR="00311931" w:rsidRDefault="00311931" w:rsidP="004E7BEA">
      <w:pPr>
        <w:numPr>
          <w:ilvl w:val="0"/>
          <w:numId w:val="7"/>
        </w:numPr>
        <w:spacing w:after="120"/>
        <w:rPr>
          <w:rFonts w:ascii="Arial" w:hAnsi="Arial"/>
          <w:sz w:val="24"/>
          <w:szCs w:val="24"/>
        </w:rPr>
      </w:pPr>
      <w:r>
        <w:rPr>
          <w:rFonts w:ascii="Arial" w:hAnsi="Arial"/>
          <w:sz w:val="24"/>
          <w:szCs w:val="24"/>
        </w:rPr>
        <w:t xml:space="preserve">The co-payment for insured patients and cash deposit for </w:t>
      </w:r>
      <w:r w:rsidR="00454562">
        <w:rPr>
          <w:rFonts w:ascii="Arial" w:hAnsi="Arial"/>
          <w:sz w:val="24"/>
          <w:szCs w:val="24"/>
        </w:rPr>
        <w:t>patients who do not have a co-payment and un</w:t>
      </w:r>
      <w:r>
        <w:rPr>
          <w:rFonts w:ascii="Arial" w:hAnsi="Arial"/>
          <w:sz w:val="24"/>
          <w:szCs w:val="24"/>
        </w:rPr>
        <w:t>insured patients appl</w:t>
      </w:r>
      <w:r w:rsidR="00454562">
        <w:rPr>
          <w:rFonts w:ascii="Arial" w:hAnsi="Arial"/>
          <w:sz w:val="24"/>
          <w:szCs w:val="24"/>
        </w:rPr>
        <w:t>ies</w:t>
      </w:r>
      <w:r>
        <w:rPr>
          <w:rFonts w:ascii="Arial" w:hAnsi="Arial"/>
          <w:sz w:val="24"/>
          <w:szCs w:val="24"/>
        </w:rPr>
        <w:t xml:space="preserve"> to your deductible and co-insurance.  You can expect a separate bill for </w:t>
      </w:r>
      <w:r w:rsidR="00454562">
        <w:rPr>
          <w:rFonts w:ascii="Arial" w:hAnsi="Arial"/>
          <w:sz w:val="24"/>
          <w:szCs w:val="24"/>
        </w:rPr>
        <w:t>any additional amount due</w:t>
      </w:r>
      <w:r>
        <w:rPr>
          <w:rFonts w:ascii="Arial" w:hAnsi="Arial"/>
          <w:sz w:val="24"/>
          <w:szCs w:val="24"/>
        </w:rPr>
        <w:t xml:space="preserve">.  We advise patients to check their insurance contract for their exact liability. </w:t>
      </w:r>
    </w:p>
    <w:p w:rsidR="00311931" w:rsidRDefault="00311931" w:rsidP="004E7BEA">
      <w:pPr>
        <w:numPr>
          <w:ilvl w:val="0"/>
          <w:numId w:val="7"/>
        </w:numPr>
        <w:spacing w:after="120"/>
        <w:rPr>
          <w:rFonts w:ascii="Arial" w:hAnsi="Arial"/>
          <w:sz w:val="24"/>
          <w:szCs w:val="24"/>
        </w:rPr>
      </w:pPr>
      <w:r>
        <w:rPr>
          <w:rFonts w:ascii="Arial" w:hAnsi="Arial"/>
          <w:sz w:val="24"/>
          <w:szCs w:val="24"/>
        </w:rPr>
        <w:t xml:space="preserve">UCENT accepts cash, money order, certified bank check, check, Visa, MasterCard, Discover and </w:t>
      </w:r>
      <w:proofErr w:type="spellStart"/>
      <w:r>
        <w:rPr>
          <w:rFonts w:ascii="Arial" w:hAnsi="Arial"/>
          <w:sz w:val="24"/>
          <w:szCs w:val="24"/>
        </w:rPr>
        <w:t>CareCredit</w:t>
      </w:r>
      <w:proofErr w:type="spellEnd"/>
      <w:r>
        <w:rPr>
          <w:rFonts w:ascii="Arial" w:hAnsi="Arial"/>
          <w:sz w:val="24"/>
          <w:szCs w:val="24"/>
        </w:rPr>
        <w:t>.</w:t>
      </w:r>
    </w:p>
    <w:p w:rsidR="00311931" w:rsidRDefault="00311931" w:rsidP="004E7BEA">
      <w:pPr>
        <w:numPr>
          <w:ilvl w:val="0"/>
          <w:numId w:val="7"/>
        </w:numPr>
        <w:spacing w:after="120"/>
        <w:rPr>
          <w:rFonts w:ascii="Arial" w:hAnsi="Arial"/>
          <w:sz w:val="24"/>
          <w:szCs w:val="24"/>
        </w:rPr>
      </w:pPr>
      <w:r>
        <w:rPr>
          <w:rFonts w:ascii="Arial" w:hAnsi="Arial"/>
          <w:sz w:val="24"/>
          <w:szCs w:val="24"/>
        </w:rPr>
        <w:t>Patient payments must be made within 30 days after the insurance carrier issues an EOB.</w:t>
      </w:r>
    </w:p>
    <w:p w:rsidR="00311931" w:rsidRDefault="00311931" w:rsidP="00936464">
      <w:pPr>
        <w:numPr>
          <w:ilvl w:val="0"/>
          <w:numId w:val="7"/>
        </w:numPr>
        <w:spacing w:after="120"/>
        <w:rPr>
          <w:rFonts w:ascii="Arial" w:hAnsi="Arial"/>
          <w:sz w:val="24"/>
          <w:szCs w:val="24"/>
        </w:rPr>
      </w:pPr>
      <w:r w:rsidRPr="00936464">
        <w:rPr>
          <w:rFonts w:ascii="Arial" w:hAnsi="Arial"/>
          <w:sz w:val="24"/>
          <w:szCs w:val="24"/>
        </w:rPr>
        <w:lastRenderedPageBreak/>
        <w:t>Patients with a past due account balance will be asked to make payment at the time of scheduling an appointment.  If payment cannot be made at that time, the patient will be asked to meet with our billing personnel to discuss payment arrangements.</w:t>
      </w:r>
    </w:p>
    <w:p w:rsidR="00311931" w:rsidRPr="00936464" w:rsidRDefault="00311931" w:rsidP="00936464">
      <w:pPr>
        <w:numPr>
          <w:ilvl w:val="0"/>
          <w:numId w:val="7"/>
        </w:numPr>
        <w:spacing w:after="120"/>
        <w:rPr>
          <w:rFonts w:ascii="Arial" w:hAnsi="Arial"/>
          <w:sz w:val="24"/>
          <w:szCs w:val="24"/>
        </w:rPr>
      </w:pPr>
      <w:r>
        <w:rPr>
          <w:rFonts w:ascii="Arial" w:hAnsi="Arial"/>
          <w:sz w:val="24"/>
          <w:szCs w:val="24"/>
        </w:rPr>
        <w:t xml:space="preserve">Adult patients with </w:t>
      </w:r>
      <w:proofErr w:type="spellStart"/>
      <w:r>
        <w:rPr>
          <w:rFonts w:ascii="Arial" w:hAnsi="Arial"/>
          <w:sz w:val="24"/>
          <w:szCs w:val="24"/>
        </w:rPr>
        <w:t>TennCare</w:t>
      </w:r>
      <w:proofErr w:type="spellEnd"/>
      <w:r>
        <w:rPr>
          <w:rFonts w:ascii="Arial" w:hAnsi="Arial"/>
          <w:sz w:val="24"/>
          <w:szCs w:val="24"/>
        </w:rPr>
        <w:t xml:space="preserve"> coverage (21 years old and older for </w:t>
      </w:r>
      <w:r w:rsidR="00C637A8">
        <w:rPr>
          <w:rFonts w:ascii="Arial" w:hAnsi="Arial"/>
          <w:sz w:val="24"/>
          <w:szCs w:val="24"/>
        </w:rPr>
        <w:t>United Healthcare Medicaid plans</w:t>
      </w:r>
      <w:r>
        <w:rPr>
          <w:rFonts w:ascii="Arial" w:hAnsi="Arial"/>
          <w:sz w:val="24"/>
          <w:szCs w:val="24"/>
        </w:rPr>
        <w:t xml:space="preserve"> and 18 years old and older for Amerigroup) will be required to pay $30 for tympanograms only and $100 for all other hearing tests at the time of service.  The responsible party for patients between the ages of 3 and 21/18 years of age with </w:t>
      </w:r>
      <w:proofErr w:type="spellStart"/>
      <w:r>
        <w:rPr>
          <w:rFonts w:ascii="Arial" w:hAnsi="Arial"/>
          <w:sz w:val="24"/>
          <w:szCs w:val="24"/>
        </w:rPr>
        <w:t>TennCare</w:t>
      </w:r>
      <w:proofErr w:type="spellEnd"/>
      <w:r>
        <w:rPr>
          <w:rFonts w:ascii="Arial" w:hAnsi="Arial"/>
          <w:sz w:val="24"/>
          <w:szCs w:val="24"/>
        </w:rPr>
        <w:t xml:space="preserve"> coverage will be required to pay $100 for OAEs at the time of service</w:t>
      </w:r>
      <w:r w:rsidR="00B2269C">
        <w:rPr>
          <w:rFonts w:ascii="Arial" w:hAnsi="Arial"/>
          <w:sz w:val="24"/>
          <w:szCs w:val="24"/>
        </w:rPr>
        <w:t xml:space="preserve"> if this particular hearing test is deemed necessary by the physician</w:t>
      </w:r>
      <w:r>
        <w:rPr>
          <w:rFonts w:ascii="Arial" w:hAnsi="Arial"/>
          <w:sz w:val="24"/>
          <w:szCs w:val="24"/>
        </w:rPr>
        <w:t xml:space="preserve">.  All patients without insurance coverage will be required to pay $30 for tympanograms only and $100 for all other hearing tests at the time of service.    </w:t>
      </w:r>
    </w:p>
    <w:p w:rsidR="00311931" w:rsidRDefault="00311931" w:rsidP="004E7BEA">
      <w:pPr>
        <w:rPr>
          <w:rFonts w:ascii="Arial" w:hAnsi="Arial"/>
          <w:sz w:val="24"/>
          <w:szCs w:val="24"/>
        </w:rPr>
      </w:pPr>
    </w:p>
    <w:p w:rsidR="00311931" w:rsidRPr="004E7BEA" w:rsidRDefault="00311931" w:rsidP="004E7BEA">
      <w:pPr>
        <w:rPr>
          <w:rFonts w:ascii="Arial" w:hAnsi="Arial"/>
          <w:i/>
          <w:sz w:val="24"/>
          <w:szCs w:val="24"/>
          <w:u w:val="single"/>
        </w:rPr>
      </w:pPr>
      <w:r>
        <w:rPr>
          <w:rFonts w:ascii="Arial" w:hAnsi="Arial"/>
          <w:i/>
          <w:sz w:val="24"/>
          <w:szCs w:val="24"/>
          <w:u w:val="single"/>
        </w:rPr>
        <w:t>Past Due Balances</w:t>
      </w:r>
    </w:p>
    <w:p w:rsidR="00311931" w:rsidRDefault="00311931" w:rsidP="004E7BEA">
      <w:pPr>
        <w:rPr>
          <w:rFonts w:ascii="Arial" w:hAnsi="Arial"/>
          <w:sz w:val="24"/>
          <w:szCs w:val="24"/>
        </w:rPr>
      </w:pPr>
    </w:p>
    <w:p w:rsidR="00311931" w:rsidRDefault="00311931" w:rsidP="00CC5682">
      <w:pPr>
        <w:numPr>
          <w:ilvl w:val="0"/>
          <w:numId w:val="8"/>
        </w:numPr>
        <w:spacing w:after="120"/>
        <w:rPr>
          <w:rFonts w:ascii="Arial" w:hAnsi="Arial"/>
          <w:sz w:val="24"/>
          <w:szCs w:val="24"/>
        </w:rPr>
      </w:pPr>
      <w:r>
        <w:rPr>
          <w:rFonts w:ascii="Arial" w:hAnsi="Arial"/>
          <w:sz w:val="24"/>
          <w:szCs w:val="24"/>
        </w:rPr>
        <w:t>All account balances more than 60 days past due are considered delinquent and may be sent to a collection agency.  All collection fees as well as attorney and court costs will be added to the patient’s balance.  Unpaid balances may result in dismissal from our practice.</w:t>
      </w:r>
    </w:p>
    <w:p w:rsidR="00311931" w:rsidRDefault="00311931" w:rsidP="00CC5682">
      <w:pPr>
        <w:numPr>
          <w:ilvl w:val="0"/>
          <w:numId w:val="8"/>
        </w:numPr>
        <w:spacing w:after="120"/>
        <w:rPr>
          <w:rFonts w:ascii="Arial" w:hAnsi="Arial"/>
          <w:sz w:val="24"/>
          <w:szCs w:val="24"/>
        </w:rPr>
      </w:pPr>
      <w:r>
        <w:rPr>
          <w:rFonts w:ascii="Arial" w:hAnsi="Arial"/>
          <w:sz w:val="24"/>
          <w:szCs w:val="24"/>
        </w:rPr>
        <w:t>A ten percent (10%) annual service charge will be added to the patient’s account balance more than 60 days past due (i.e., following the insurance company’s issuance of an EOB).</w:t>
      </w:r>
    </w:p>
    <w:p w:rsidR="00311931" w:rsidRDefault="00311931" w:rsidP="00CC5682">
      <w:pPr>
        <w:numPr>
          <w:ilvl w:val="0"/>
          <w:numId w:val="8"/>
        </w:numPr>
        <w:spacing w:after="120"/>
        <w:rPr>
          <w:rFonts w:ascii="Arial" w:hAnsi="Arial"/>
          <w:sz w:val="24"/>
          <w:szCs w:val="24"/>
        </w:rPr>
      </w:pPr>
      <w:r>
        <w:rPr>
          <w:rFonts w:ascii="Arial" w:hAnsi="Arial"/>
          <w:sz w:val="24"/>
          <w:szCs w:val="24"/>
        </w:rPr>
        <w:t>A separate $35 fee will be charged for all returned checks.  The patient is responsible for paying the account balance and the $35 fee upon notification of the returned check.  This payment must be made by cash, money order, certified bank check or credit card.</w:t>
      </w:r>
    </w:p>
    <w:p w:rsidR="00311931" w:rsidRDefault="00311931" w:rsidP="00202A3D">
      <w:pPr>
        <w:spacing w:after="120"/>
        <w:rPr>
          <w:rFonts w:ascii="Arial" w:hAnsi="Arial"/>
          <w:sz w:val="24"/>
          <w:szCs w:val="24"/>
        </w:rPr>
      </w:pPr>
    </w:p>
    <w:p w:rsidR="00311931" w:rsidRDefault="00311931" w:rsidP="00202A3D">
      <w:pPr>
        <w:rPr>
          <w:rFonts w:ascii="Arial" w:hAnsi="Arial"/>
          <w:sz w:val="24"/>
          <w:szCs w:val="24"/>
          <w:u w:val="single"/>
        </w:rPr>
      </w:pPr>
      <w:r w:rsidRPr="00202A3D">
        <w:rPr>
          <w:rFonts w:ascii="Arial" w:hAnsi="Arial"/>
          <w:sz w:val="24"/>
          <w:szCs w:val="24"/>
          <w:u w:val="single"/>
        </w:rPr>
        <w:t>Office Procedures</w:t>
      </w:r>
    </w:p>
    <w:p w:rsidR="00311931" w:rsidRDefault="00311931" w:rsidP="00202A3D">
      <w:pPr>
        <w:rPr>
          <w:rFonts w:ascii="Arial" w:hAnsi="Arial"/>
          <w:sz w:val="24"/>
          <w:szCs w:val="24"/>
          <w:u w:val="single"/>
        </w:rPr>
      </w:pPr>
    </w:p>
    <w:p w:rsidR="00311931" w:rsidRDefault="00311931" w:rsidP="00202A3D">
      <w:pPr>
        <w:spacing w:after="120"/>
        <w:rPr>
          <w:rFonts w:ascii="Arial" w:hAnsi="Arial"/>
          <w:sz w:val="24"/>
          <w:szCs w:val="24"/>
        </w:rPr>
      </w:pPr>
      <w:r>
        <w:rPr>
          <w:rFonts w:ascii="Arial" w:hAnsi="Arial"/>
          <w:sz w:val="24"/>
          <w:szCs w:val="24"/>
        </w:rPr>
        <w:t xml:space="preserve">A preauthorization of benefits will be done for all office procedures that require such.  </w:t>
      </w:r>
      <w:r w:rsidRPr="00202A3D">
        <w:rPr>
          <w:rFonts w:ascii="Arial" w:hAnsi="Arial"/>
          <w:sz w:val="24"/>
          <w:szCs w:val="24"/>
        </w:rPr>
        <w:t>Verification of benefits from your insurance carrier is not a guarantee of payment.  The patient is responsible for payment in full on any balance not paid by his/her insurance.</w:t>
      </w:r>
    </w:p>
    <w:p w:rsidR="00311931" w:rsidRDefault="00311931" w:rsidP="00202A3D">
      <w:pPr>
        <w:spacing w:after="120"/>
        <w:rPr>
          <w:rFonts w:ascii="Arial" w:hAnsi="Arial"/>
          <w:sz w:val="24"/>
          <w:szCs w:val="24"/>
        </w:rPr>
      </w:pPr>
    </w:p>
    <w:p w:rsidR="00311931" w:rsidRPr="00202A3D" w:rsidRDefault="00311931" w:rsidP="00202A3D">
      <w:pPr>
        <w:rPr>
          <w:rFonts w:ascii="Arial" w:hAnsi="Arial"/>
          <w:sz w:val="24"/>
          <w:szCs w:val="24"/>
          <w:u w:val="single"/>
        </w:rPr>
      </w:pPr>
      <w:r w:rsidRPr="00202A3D">
        <w:rPr>
          <w:rFonts w:ascii="Arial" w:hAnsi="Arial"/>
          <w:sz w:val="24"/>
          <w:szCs w:val="24"/>
          <w:u w:val="single"/>
        </w:rPr>
        <w:t>Requests to Complete Forms</w:t>
      </w:r>
      <w:r>
        <w:rPr>
          <w:rFonts w:ascii="Arial" w:hAnsi="Arial"/>
          <w:sz w:val="24"/>
          <w:szCs w:val="24"/>
          <w:u w:val="single"/>
        </w:rPr>
        <w:t xml:space="preserve"> and Provide Letters</w:t>
      </w:r>
    </w:p>
    <w:p w:rsidR="00311931" w:rsidRDefault="00311931" w:rsidP="00202A3D">
      <w:pPr>
        <w:spacing w:after="120"/>
        <w:rPr>
          <w:rFonts w:ascii="Arial" w:hAnsi="Arial"/>
          <w:sz w:val="24"/>
          <w:szCs w:val="24"/>
        </w:rPr>
      </w:pPr>
    </w:p>
    <w:p w:rsidR="00311931" w:rsidRDefault="00311931" w:rsidP="00202A3D">
      <w:pPr>
        <w:spacing w:after="120"/>
        <w:rPr>
          <w:rFonts w:ascii="Arial" w:hAnsi="Arial"/>
          <w:sz w:val="24"/>
          <w:szCs w:val="24"/>
        </w:rPr>
      </w:pPr>
      <w:r>
        <w:rPr>
          <w:rFonts w:ascii="Arial" w:hAnsi="Arial"/>
          <w:sz w:val="24"/>
          <w:szCs w:val="24"/>
        </w:rPr>
        <w:t>A minimum of 5 working days are required to complete forms and letters (e.g., FMLA, disability, work-related).  After 5 working days, the forms/letters may be picked up at our front desk.  There is a $15 charge for each completed form.  There is a $15 charge for all letters.</w:t>
      </w:r>
    </w:p>
    <w:p w:rsidR="00311931" w:rsidRDefault="00311931" w:rsidP="00202A3D">
      <w:pPr>
        <w:spacing w:after="120"/>
        <w:rPr>
          <w:rFonts w:ascii="Arial" w:hAnsi="Arial"/>
          <w:sz w:val="24"/>
          <w:szCs w:val="24"/>
        </w:rPr>
      </w:pPr>
    </w:p>
    <w:p w:rsidR="00454562" w:rsidRDefault="00454562" w:rsidP="00202A3D">
      <w:pPr>
        <w:spacing w:after="120"/>
        <w:rPr>
          <w:rFonts w:ascii="Arial" w:hAnsi="Arial"/>
          <w:sz w:val="24"/>
          <w:szCs w:val="24"/>
        </w:rPr>
      </w:pPr>
    </w:p>
    <w:p w:rsidR="00311931" w:rsidRDefault="00311931" w:rsidP="00202A3D">
      <w:pPr>
        <w:spacing w:after="120"/>
        <w:rPr>
          <w:rFonts w:ascii="Arial" w:hAnsi="Arial"/>
          <w:sz w:val="24"/>
          <w:szCs w:val="24"/>
        </w:rPr>
      </w:pPr>
      <w:r>
        <w:rPr>
          <w:rFonts w:ascii="Arial" w:hAnsi="Arial"/>
          <w:sz w:val="24"/>
          <w:szCs w:val="24"/>
        </w:rPr>
        <w:lastRenderedPageBreak/>
        <w:t xml:space="preserve">Annually, all patients will be required to acknowledge they read and understand this </w:t>
      </w:r>
      <w:bookmarkStart w:id="0" w:name="_GoBack"/>
      <w:bookmarkEnd w:id="0"/>
      <w:r>
        <w:rPr>
          <w:rFonts w:ascii="Arial" w:hAnsi="Arial"/>
          <w:sz w:val="24"/>
          <w:szCs w:val="24"/>
        </w:rPr>
        <w:t>policy.</w:t>
      </w:r>
    </w:p>
    <w:p w:rsidR="00311931" w:rsidRDefault="00311931" w:rsidP="00202A3D">
      <w:pPr>
        <w:spacing w:after="120"/>
        <w:rPr>
          <w:rFonts w:ascii="Arial" w:hAnsi="Arial"/>
          <w:sz w:val="24"/>
          <w:szCs w:val="24"/>
        </w:rPr>
      </w:pPr>
    </w:p>
    <w:p w:rsidR="00311931" w:rsidRDefault="00311931" w:rsidP="00202A3D">
      <w:pPr>
        <w:spacing w:after="120"/>
        <w:rPr>
          <w:rFonts w:ascii="Arial" w:hAnsi="Arial"/>
          <w:sz w:val="24"/>
          <w:szCs w:val="24"/>
        </w:rPr>
      </w:pPr>
      <w:r>
        <w:rPr>
          <w:rFonts w:ascii="Arial" w:hAnsi="Arial"/>
          <w:sz w:val="24"/>
          <w:szCs w:val="24"/>
        </w:rPr>
        <w:t>I acknowledge I have read and understand this policy:</w:t>
      </w:r>
    </w:p>
    <w:p w:rsidR="00311931" w:rsidRDefault="00311931" w:rsidP="00202A3D">
      <w:pPr>
        <w:spacing w:after="120"/>
        <w:rPr>
          <w:rFonts w:ascii="Arial" w:hAnsi="Arial"/>
          <w:sz w:val="24"/>
          <w:szCs w:val="24"/>
        </w:rPr>
      </w:pPr>
    </w:p>
    <w:p w:rsidR="00311931" w:rsidRDefault="00311931" w:rsidP="00202A3D">
      <w:pPr>
        <w:spacing w:after="120"/>
        <w:rPr>
          <w:rFonts w:ascii="Arial" w:hAnsi="Arial"/>
          <w:sz w:val="24"/>
          <w:szCs w:val="24"/>
        </w:rPr>
      </w:pPr>
    </w:p>
    <w:p w:rsidR="00311931" w:rsidRDefault="00311931" w:rsidP="00202A3D">
      <w:pPr>
        <w:spacing w:after="120"/>
        <w:rPr>
          <w:rFonts w:ascii="Arial" w:hAnsi="Arial"/>
          <w:sz w:val="24"/>
          <w:szCs w:val="24"/>
        </w:rPr>
      </w:pPr>
      <w:r>
        <w:rPr>
          <w:rFonts w:ascii="Arial" w:hAnsi="Arial"/>
          <w:sz w:val="24"/>
          <w:szCs w:val="24"/>
        </w:rPr>
        <w:t>_____________________________________________</w:t>
      </w:r>
    </w:p>
    <w:p w:rsidR="00311931" w:rsidRDefault="00311931" w:rsidP="00202A3D">
      <w:pPr>
        <w:spacing w:after="120"/>
        <w:rPr>
          <w:rFonts w:ascii="Arial" w:hAnsi="Arial"/>
          <w:sz w:val="24"/>
          <w:szCs w:val="24"/>
        </w:rPr>
      </w:pPr>
      <w:r>
        <w:rPr>
          <w:rFonts w:ascii="Arial" w:hAnsi="Arial"/>
          <w:sz w:val="24"/>
          <w:szCs w:val="24"/>
        </w:rPr>
        <w:t>Name of Patient or Responsible Party</w:t>
      </w:r>
    </w:p>
    <w:p w:rsidR="00311931" w:rsidRDefault="00311931" w:rsidP="00202A3D">
      <w:pPr>
        <w:spacing w:after="120"/>
        <w:rPr>
          <w:rFonts w:ascii="Arial" w:hAnsi="Arial"/>
          <w:sz w:val="24"/>
          <w:szCs w:val="24"/>
        </w:rPr>
      </w:pPr>
    </w:p>
    <w:p w:rsidR="00311931" w:rsidRDefault="00311931" w:rsidP="00202A3D">
      <w:pPr>
        <w:spacing w:after="120"/>
        <w:rPr>
          <w:rFonts w:ascii="Arial" w:hAnsi="Arial"/>
          <w:sz w:val="24"/>
          <w:szCs w:val="24"/>
        </w:rPr>
      </w:pPr>
    </w:p>
    <w:p w:rsidR="00311931" w:rsidRDefault="00311931" w:rsidP="00202A3D">
      <w:pPr>
        <w:spacing w:after="120"/>
        <w:rPr>
          <w:rFonts w:ascii="Arial" w:hAnsi="Arial"/>
          <w:sz w:val="24"/>
          <w:szCs w:val="24"/>
        </w:rPr>
      </w:pPr>
      <w:r>
        <w:rPr>
          <w:rFonts w:ascii="Arial" w:hAnsi="Arial"/>
          <w:sz w:val="24"/>
          <w:szCs w:val="24"/>
        </w:rPr>
        <w:t>Date: __________________________</w:t>
      </w:r>
    </w:p>
    <w:p w:rsidR="00311931" w:rsidRDefault="00311931" w:rsidP="00202A3D">
      <w:pPr>
        <w:spacing w:after="120"/>
        <w:rPr>
          <w:rFonts w:ascii="Arial" w:hAnsi="Arial"/>
          <w:sz w:val="24"/>
          <w:szCs w:val="24"/>
        </w:rPr>
      </w:pPr>
    </w:p>
    <w:p w:rsidR="00311931" w:rsidRPr="00202A3D" w:rsidRDefault="00311931" w:rsidP="00202A3D">
      <w:pPr>
        <w:spacing w:after="120"/>
        <w:rPr>
          <w:rFonts w:ascii="Arial" w:hAnsi="Arial"/>
          <w:sz w:val="24"/>
          <w:szCs w:val="24"/>
        </w:rPr>
      </w:pPr>
      <w:r>
        <w:rPr>
          <w:rFonts w:ascii="Arial" w:hAnsi="Arial"/>
          <w:sz w:val="24"/>
          <w:szCs w:val="24"/>
        </w:rPr>
        <w:t xml:space="preserve"> </w:t>
      </w:r>
    </w:p>
    <w:p w:rsidR="00311931" w:rsidRDefault="00311931" w:rsidP="00202A3D">
      <w:pPr>
        <w:spacing w:after="120"/>
        <w:rPr>
          <w:rFonts w:ascii="Arial" w:hAnsi="Arial"/>
          <w:sz w:val="24"/>
          <w:szCs w:val="24"/>
          <w:u w:val="single"/>
        </w:rPr>
      </w:pPr>
    </w:p>
    <w:p w:rsidR="00311931" w:rsidRDefault="00311931" w:rsidP="00202A3D">
      <w:pPr>
        <w:spacing w:after="120"/>
        <w:rPr>
          <w:rFonts w:ascii="Arial" w:hAnsi="Arial"/>
          <w:sz w:val="24"/>
          <w:szCs w:val="24"/>
        </w:rPr>
      </w:pPr>
    </w:p>
    <w:sectPr w:rsidR="00311931" w:rsidSect="00EF43E0">
      <w:footerReference w:type="default" r:id="rId8"/>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E6" w:rsidRDefault="009A01E6">
      <w:r>
        <w:separator/>
      </w:r>
    </w:p>
  </w:endnote>
  <w:endnote w:type="continuationSeparator" w:id="0">
    <w:p w:rsidR="009A01E6" w:rsidRDefault="009A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00"/>
      <w:gridCol w:w="2340"/>
      <w:gridCol w:w="3420"/>
    </w:tblGrid>
    <w:tr w:rsidR="00311931">
      <w:tc>
        <w:tcPr>
          <w:tcW w:w="3600" w:type="dxa"/>
        </w:tcPr>
        <w:p w:rsidR="00311931" w:rsidRDefault="00311931" w:rsidP="00C637A8">
          <w:pPr>
            <w:rPr>
              <w:rFonts w:ascii="Book Antiqua" w:hAnsi="Book Antiqua"/>
              <w:sz w:val="18"/>
            </w:rPr>
          </w:pPr>
          <w:r>
            <w:rPr>
              <w:rFonts w:ascii="Book Antiqua" w:hAnsi="Book Antiqua"/>
              <w:sz w:val="18"/>
            </w:rPr>
            <w:t xml:space="preserve">Approved by Board of Directors  </w:t>
          </w:r>
          <w:r w:rsidR="00C637A8">
            <w:rPr>
              <w:rFonts w:ascii="Book Antiqua" w:hAnsi="Book Antiqua"/>
              <w:sz w:val="18"/>
            </w:rPr>
            <w:t>02</w:t>
          </w:r>
          <w:r>
            <w:rPr>
              <w:rFonts w:ascii="Book Antiqua" w:hAnsi="Book Antiqua"/>
              <w:sz w:val="18"/>
            </w:rPr>
            <w:t>.</w:t>
          </w:r>
          <w:r w:rsidR="00C637A8">
            <w:rPr>
              <w:rFonts w:ascii="Book Antiqua" w:hAnsi="Book Antiqua"/>
              <w:sz w:val="18"/>
            </w:rPr>
            <w:t>21</w:t>
          </w:r>
          <w:r>
            <w:rPr>
              <w:rFonts w:ascii="Book Antiqua" w:hAnsi="Book Antiqua"/>
              <w:sz w:val="18"/>
            </w:rPr>
            <w:t>.1</w:t>
          </w:r>
          <w:r w:rsidR="00C637A8">
            <w:rPr>
              <w:rFonts w:ascii="Book Antiqua" w:hAnsi="Book Antiqua"/>
              <w:sz w:val="18"/>
            </w:rPr>
            <w:t>7</w:t>
          </w:r>
        </w:p>
      </w:tc>
      <w:tc>
        <w:tcPr>
          <w:tcW w:w="2340" w:type="dxa"/>
        </w:tcPr>
        <w:p w:rsidR="00311931" w:rsidRDefault="00311931">
          <w:pPr>
            <w:rPr>
              <w:rFonts w:ascii="Book Antiqua" w:hAnsi="Book Antiqua"/>
              <w:sz w:val="18"/>
            </w:rPr>
          </w:pPr>
          <w:r>
            <w:rPr>
              <w:rFonts w:ascii="Book Antiqua" w:hAnsi="Book Antiqua"/>
              <w:sz w:val="18"/>
            </w:rPr>
            <w:t xml:space="preserve">Page   </w:t>
          </w:r>
          <w:r>
            <w:rPr>
              <w:rStyle w:val="PageNumber"/>
            </w:rPr>
            <w:fldChar w:fldCharType="begin"/>
          </w:r>
          <w:r>
            <w:rPr>
              <w:rStyle w:val="PageNumber"/>
            </w:rPr>
            <w:instrText xml:space="preserve"> PAGE </w:instrText>
          </w:r>
          <w:r>
            <w:rPr>
              <w:rStyle w:val="PageNumber"/>
            </w:rPr>
            <w:fldChar w:fldCharType="separate"/>
          </w:r>
          <w:r w:rsidR="00C637A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37A8">
            <w:rPr>
              <w:rStyle w:val="PageNumber"/>
              <w:noProof/>
            </w:rPr>
            <w:t>3</w:t>
          </w:r>
          <w:r>
            <w:rPr>
              <w:rStyle w:val="PageNumber"/>
            </w:rPr>
            <w:fldChar w:fldCharType="end"/>
          </w:r>
        </w:p>
      </w:tc>
      <w:tc>
        <w:tcPr>
          <w:tcW w:w="3420" w:type="dxa"/>
        </w:tcPr>
        <w:p w:rsidR="00311931" w:rsidRDefault="00311931">
          <w:pPr>
            <w:rPr>
              <w:rFonts w:ascii="Book Antiqua" w:hAnsi="Book Antiqua"/>
              <w:sz w:val="18"/>
            </w:rPr>
          </w:pPr>
          <w:r>
            <w:rPr>
              <w:rFonts w:ascii="Book Antiqua" w:hAnsi="Book Antiqua"/>
              <w:sz w:val="18"/>
            </w:rPr>
            <w:t>Payment and Collections Policy</w:t>
          </w:r>
        </w:p>
      </w:tc>
    </w:tr>
    <w:tr w:rsidR="00311931">
      <w:tc>
        <w:tcPr>
          <w:tcW w:w="3600" w:type="dxa"/>
        </w:tcPr>
        <w:p w:rsidR="00311931" w:rsidRDefault="00311931" w:rsidP="00C637A8">
          <w:pPr>
            <w:rPr>
              <w:rFonts w:ascii="Book Antiqua" w:hAnsi="Book Antiqua"/>
              <w:sz w:val="18"/>
            </w:rPr>
          </w:pPr>
          <w:r>
            <w:rPr>
              <w:rFonts w:ascii="Book Antiqua" w:hAnsi="Book Antiqua"/>
              <w:sz w:val="18"/>
            </w:rPr>
            <w:t>()   New policy/procedure</w:t>
          </w:r>
        </w:p>
      </w:tc>
      <w:tc>
        <w:tcPr>
          <w:tcW w:w="2340" w:type="dxa"/>
        </w:tcPr>
        <w:p w:rsidR="00311931" w:rsidRDefault="00311931" w:rsidP="00811F0B">
          <w:pPr>
            <w:rPr>
              <w:rFonts w:ascii="Book Antiqua" w:hAnsi="Book Antiqua"/>
              <w:sz w:val="18"/>
            </w:rPr>
          </w:pPr>
          <w:r>
            <w:rPr>
              <w:rFonts w:ascii="Book Antiqua" w:hAnsi="Book Antiqua"/>
              <w:sz w:val="18"/>
            </w:rPr>
            <w:t>(</w:t>
          </w:r>
          <w:r w:rsidR="00C637A8">
            <w:rPr>
              <w:rFonts w:ascii="Book Antiqua" w:hAnsi="Book Antiqua"/>
              <w:sz w:val="18"/>
            </w:rPr>
            <w:t>x</w:t>
          </w:r>
          <w:r>
            <w:rPr>
              <w:rFonts w:ascii="Book Antiqua" w:hAnsi="Book Antiqua"/>
              <w:sz w:val="18"/>
            </w:rPr>
            <w:t>) Supersedes attached</w:t>
          </w:r>
        </w:p>
      </w:tc>
      <w:tc>
        <w:tcPr>
          <w:tcW w:w="3420" w:type="dxa"/>
        </w:tcPr>
        <w:p w:rsidR="00311931" w:rsidRPr="005022AF" w:rsidRDefault="00311931">
          <w:pPr>
            <w:rPr>
              <w:sz w:val="18"/>
            </w:rPr>
          </w:pPr>
          <w:smartTag w:uri="urn:schemas-microsoft-com:office:smarttags" w:element="place">
            <w:r>
              <w:rPr>
                <w:sz w:val="18"/>
              </w:rPr>
              <w:t>Upper Cumberland</w:t>
            </w:r>
          </w:smartTag>
          <w:r>
            <w:rPr>
              <w:sz w:val="18"/>
            </w:rPr>
            <w:t xml:space="preserve"> Ear, Nose &amp; Throat</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E6" w:rsidRDefault="009A01E6">
      <w:r>
        <w:separator/>
      </w:r>
    </w:p>
  </w:footnote>
  <w:footnote w:type="continuationSeparator" w:id="0">
    <w:p w:rsidR="009A01E6" w:rsidRDefault="009A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CD7"/>
    <w:multiLevelType w:val="hybridMultilevel"/>
    <w:tmpl w:val="DA74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C6243A"/>
    <w:multiLevelType w:val="hybridMultilevel"/>
    <w:tmpl w:val="D9C4F6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09118D"/>
    <w:multiLevelType w:val="multilevel"/>
    <w:tmpl w:val="D9C4F6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08931ED"/>
    <w:multiLevelType w:val="hybridMultilevel"/>
    <w:tmpl w:val="FA1C9A4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5F04C7C"/>
    <w:multiLevelType w:val="hybridMultilevel"/>
    <w:tmpl w:val="E46495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0563F9"/>
    <w:multiLevelType w:val="multilevel"/>
    <w:tmpl w:val="D9C4F6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BC495F"/>
    <w:multiLevelType w:val="hybridMultilevel"/>
    <w:tmpl w:val="1C96FE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8F05EA1"/>
    <w:multiLevelType w:val="hybridMultilevel"/>
    <w:tmpl w:val="1A7EC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92"/>
    <w:rsid w:val="0000542D"/>
    <w:rsid w:val="00007028"/>
    <w:rsid w:val="00075F72"/>
    <w:rsid w:val="000A3375"/>
    <w:rsid w:val="000D2F72"/>
    <w:rsid w:val="000F1C92"/>
    <w:rsid w:val="00114F67"/>
    <w:rsid w:val="0014260B"/>
    <w:rsid w:val="001969E5"/>
    <w:rsid w:val="001E2C12"/>
    <w:rsid w:val="00202A3D"/>
    <w:rsid w:val="002E20D2"/>
    <w:rsid w:val="00311931"/>
    <w:rsid w:val="003275B1"/>
    <w:rsid w:val="00376810"/>
    <w:rsid w:val="003C5495"/>
    <w:rsid w:val="003D1DA7"/>
    <w:rsid w:val="003F2B22"/>
    <w:rsid w:val="00412457"/>
    <w:rsid w:val="00415D53"/>
    <w:rsid w:val="00431563"/>
    <w:rsid w:val="00454562"/>
    <w:rsid w:val="00462943"/>
    <w:rsid w:val="00493126"/>
    <w:rsid w:val="004A639A"/>
    <w:rsid w:val="004E267C"/>
    <w:rsid w:val="004E7BEA"/>
    <w:rsid w:val="004F38FF"/>
    <w:rsid w:val="005022AF"/>
    <w:rsid w:val="00584460"/>
    <w:rsid w:val="00585089"/>
    <w:rsid w:val="005B46E0"/>
    <w:rsid w:val="00604D76"/>
    <w:rsid w:val="006247D7"/>
    <w:rsid w:val="006669DB"/>
    <w:rsid w:val="00684BAA"/>
    <w:rsid w:val="00705928"/>
    <w:rsid w:val="00712838"/>
    <w:rsid w:val="00776ED5"/>
    <w:rsid w:val="007E2824"/>
    <w:rsid w:val="007F42AD"/>
    <w:rsid w:val="00811F0B"/>
    <w:rsid w:val="00842CFB"/>
    <w:rsid w:val="00936464"/>
    <w:rsid w:val="009975F7"/>
    <w:rsid w:val="009A01E6"/>
    <w:rsid w:val="009D2C9A"/>
    <w:rsid w:val="00A1260F"/>
    <w:rsid w:val="00A94BDE"/>
    <w:rsid w:val="00AC227C"/>
    <w:rsid w:val="00AE2B14"/>
    <w:rsid w:val="00AF09C6"/>
    <w:rsid w:val="00B2269C"/>
    <w:rsid w:val="00B9369E"/>
    <w:rsid w:val="00C029C2"/>
    <w:rsid w:val="00C637A8"/>
    <w:rsid w:val="00CB3BC1"/>
    <w:rsid w:val="00CC2151"/>
    <w:rsid w:val="00CC5682"/>
    <w:rsid w:val="00D43178"/>
    <w:rsid w:val="00DA50ED"/>
    <w:rsid w:val="00DB7CB4"/>
    <w:rsid w:val="00DE77DE"/>
    <w:rsid w:val="00E0085E"/>
    <w:rsid w:val="00E348A4"/>
    <w:rsid w:val="00E5461D"/>
    <w:rsid w:val="00E9289A"/>
    <w:rsid w:val="00EA14C0"/>
    <w:rsid w:val="00ED1F49"/>
    <w:rsid w:val="00EE0470"/>
    <w:rsid w:val="00EF43E0"/>
    <w:rsid w:val="00F3483C"/>
    <w:rsid w:val="00F3714F"/>
    <w:rsid w:val="00F41872"/>
    <w:rsid w:val="00F43CE8"/>
    <w:rsid w:val="00FC559F"/>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E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EF43E0"/>
    <w:rPr>
      <w:sz w:val="24"/>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character" w:customStyle="1" w:styleId="z-BottomofForm1">
    <w:name w:val="z-Bottom of Form1"/>
    <w:basedOn w:val="DefaultParagraphFont"/>
    <w:uiPriority w:val="99"/>
    <w:rsid w:val="00EF43E0"/>
    <w:rPr>
      <w:rFonts w:cs="Times New Roman"/>
    </w:rPr>
  </w:style>
  <w:style w:type="paragraph" w:styleId="NormalWeb">
    <w:name w:val="Normal (Web)"/>
    <w:basedOn w:val="Normal"/>
    <w:uiPriority w:val="99"/>
    <w:rsid w:val="00EF43E0"/>
    <w:pPr>
      <w:jc w:val="center"/>
    </w:pPr>
    <w:rPr>
      <w:rFonts w:ascii="Arial" w:hAnsi="Arial"/>
      <w:sz w:val="28"/>
    </w:rPr>
  </w:style>
  <w:style w:type="paragraph" w:customStyle="1" w:styleId="HTMLAcronym1">
    <w:name w:val="HTML Acronym1"/>
    <w:basedOn w:val="Normal"/>
    <w:uiPriority w:val="99"/>
    <w:rsid w:val="00EF43E0"/>
    <w:pPr>
      <w:ind w:left="720"/>
    </w:pPr>
  </w:style>
  <w:style w:type="character" w:customStyle="1" w:styleId="HTMLAddress1">
    <w:name w:val="HTML Address1"/>
    <w:basedOn w:val="DefaultParagraphFont"/>
    <w:uiPriority w:val="99"/>
    <w:rsid w:val="00EF43E0"/>
    <w:rPr>
      <w:rFonts w:cs="Times New Roman"/>
    </w:rPr>
  </w:style>
  <w:style w:type="character" w:styleId="HTMLCite">
    <w:name w:val="HTML Cite"/>
    <w:basedOn w:val="DefaultParagraphFont"/>
    <w:uiPriority w:val="99"/>
    <w:rsid w:val="00EF43E0"/>
    <w:rPr>
      <w:rFonts w:cs="Times New Roman"/>
    </w:rPr>
  </w:style>
  <w:style w:type="paragraph" w:styleId="Header">
    <w:name w:val="header"/>
    <w:basedOn w:val="Normal"/>
    <w:link w:val="HeaderChar"/>
    <w:uiPriority w:val="99"/>
    <w:rsid w:val="000F1C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F1C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FF0A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842CFB"/>
    <w:rPr>
      <w:rFonts w:cs="Times New Roman"/>
    </w:rPr>
  </w:style>
  <w:style w:type="paragraph" w:styleId="ListParagraph">
    <w:name w:val="List Paragraph"/>
    <w:basedOn w:val="Normal"/>
    <w:uiPriority w:val="34"/>
    <w:qFormat/>
    <w:rsid w:val="00C6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E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EF43E0"/>
    <w:rPr>
      <w:sz w:val="24"/>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character" w:customStyle="1" w:styleId="z-BottomofForm1">
    <w:name w:val="z-Bottom of Form1"/>
    <w:basedOn w:val="DefaultParagraphFont"/>
    <w:uiPriority w:val="99"/>
    <w:rsid w:val="00EF43E0"/>
    <w:rPr>
      <w:rFonts w:cs="Times New Roman"/>
    </w:rPr>
  </w:style>
  <w:style w:type="paragraph" w:styleId="NormalWeb">
    <w:name w:val="Normal (Web)"/>
    <w:basedOn w:val="Normal"/>
    <w:uiPriority w:val="99"/>
    <w:rsid w:val="00EF43E0"/>
    <w:pPr>
      <w:jc w:val="center"/>
    </w:pPr>
    <w:rPr>
      <w:rFonts w:ascii="Arial" w:hAnsi="Arial"/>
      <w:sz w:val="28"/>
    </w:rPr>
  </w:style>
  <w:style w:type="paragraph" w:customStyle="1" w:styleId="HTMLAcronym1">
    <w:name w:val="HTML Acronym1"/>
    <w:basedOn w:val="Normal"/>
    <w:uiPriority w:val="99"/>
    <w:rsid w:val="00EF43E0"/>
    <w:pPr>
      <w:ind w:left="720"/>
    </w:pPr>
  </w:style>
  <w:style w:type="character" w:customStyle="1" w:styleId="HTMLAddress1">
    <w:name w:val="HTML Address1"/>
    <w:basedOn w:val="DefaultParagraphFont"/>
    <w:uiPriority w:val="99"/>
    <w:rsid w:val="00EF43E0"/>
    <w:rPr>
      <w:rFonts w:cs="Times New Roman"/>
    </w:rPr>
  </w:style>
  <w:style w:type="character" w:styleId="HTMLCite">
    <w:name w:val="HTML Cite"/>
    <w:basedOn w:val="DefaultParagraphFont"/>
    <w:uiPriority w:val="99"/>
    <w:rsid w:val="00EF43E0"/>
    <w:rPr>
      <w:rFonts w:cs="Times New Roman"/>
    </w:rPr>
  </w:style>
  <w:style w:type="paragraph" w:styleId="Header">
    <w:name w:val="header"/>
    <w:basedOn w:val="Normal"/>
    <w:link w:val="HeaderChar"/>
    <w:uiPriority w:val="99"/>
    <w:rsid w:val="000F1C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F1C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FF0A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842CFB"/>
    <w:rPr>
      <w:rFonts w:cs="Times New Roman"/>
    </w:rPr>
  </w:style>
  <w:style w:type="paragraph" w:styleId="ListParagraph">
    <w:name w:val="List Paragraph"/>
    <w:basedOn w:val="Normal"/>
    <w:uiPriority w:val="34"/>
    <w:qFormat/>
    <w:rsid w:val="00C6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INCENTIVE PLAN</vt:lpstr>
    </vt:vector>
  </TitlesOfParts>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PLAN</dc:title>
  <dc:creator>Al Simmons</dc:creator>
  <cp:lastModifiedBy>Mike Vaughn</cp:lastModifiedBy>
  <cp:revision>2</cp:revision>
  <cp:lastPrinted>2015-01-09T16:48:00Z</cp:lastPrinted>
  <dcterms:created xsi:type="dcterms:W3CDTF">2017-02-21T14:48:00Z</dcterms:created>
  <dcterms:modified xsi:type="dcterms:W3CDTF">2017-02-21T14:48:00Z</dcterms:modified>
</cp:coreProperties>
</file>